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หลักชีววิทยา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๔๐๓๑๑๐๕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1105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หลักชีววิทยา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Principle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F22923">
        <w:rPr>
          <w:rFonts w:ascii="TH SarabunPSK" w:hAnsi="TH SarabunPSK" w:cs="TH SarabunPSK"/>
          <w:sz w:val="32"/>
          <w:szCs w:val="32"/>
        </w:rPr>
        <w:t>2556</w:t>
      </w:r>
      <w:bookmarkStart w:id="0" w:name="_GoBack"/>
      <w:bookmarkEnd w:id="0"/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8468D8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Tr="00126550">
        <w:trPr>
          <w:trHeight w:val="2663"/>
        </w:trPr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8468D8" w:rsidRPr="004655C2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ความรู้พื้นฐานทางชีววิทยา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8468D8" w:rsidRPr="001D673C" w:rsidRDefault="008468D8" w:rsidP="00126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(วีดีโอวิวัฒนาการ)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rPr>
          <w:trHeight w:val="422"/>
        </w:trPr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594F45">
      <w:pPr>
        <w:numPr>
          <w:ilvl w:val="0"/>
          <w:numId w:val="26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B1" w:rsidRDefault="009B11B1" w:rsidP="001D5AA2">
      <w:pPr>
        <w:pStyle w:val="a3"/>
      </w:pPr>
      <w:r>
        <w:separator/>
      </w:r>
    </w:p>
  </w:endnote>
  <w:endnote w:type="continuationSeparator" w:id="0">
    <w:p w:rsidR="009B11B1" w:rsidRDefault="009B11B1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B1" w:rsidRDefault="009B11B1" w:rsidP="001D5AA2">
      <w:pPr>
        <w:pStyle w:val="a3"/>
      </w:pPr>
      <w:r>
        <w:separator/>
      </w:r>
    </w:p>
  </w:footnote>
  <w:footnote w:type="continuationSeparator" w:id="0">
    <w:p w:rsidR="009B11B1" w:rsidRDefault="009B11B1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F22923">
      <w:rPr>
        <w:rStyle w:val="a4"/>
        <w:rFonts w:ascii="Angsana New" w:hAnsi="Angsana New"/>
        <w:noProof/>
      </w:rPr>
      <w:t>3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6E71-3EFC-4A8B-A0EC-1EF08FF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1941</Words>
  <Characters>11066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9</cp:revision>
  <cp:lastPrinted>2009-09-09T04:11:00Z</cp:lastPrinted>
  <dcterms:created xsi:type="dcterms:W3CDTF">2012-06-26T07:23:00Z</dcterms:created>
  <dcterms:modified xsi:type="dcterms:W3CDTF">2013-07-15T14:54:00Z</dcterms:modified>
</cp:coreProperties>
</file>